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750/2024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750/2024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Sra. Juliana Hoffmann de Camargo, Presidente do Conselho Municipal de Saúde que informe a esta Casa de Leis, as seguintes informações em forma de certidão:</w:t>
        <w:cr/>
        <w:t>
1 – Quem é o responsável pelo recebimento das reclamações ao Conselho Municipal de Saúde?</w:t>
        <w:cr/>
        <w:t>
2 - Chegou ao Conselho durante o período do ano de 2024, alguma reclamação sobre assédio na Santa Casa de Misericórdia de Tatuí, por parte de algum funcionário da coordenação?</w:t>
        <w:cr/>
        <w:t>
3 - Se a resposta acima for afirmativa, enviar uma cópia da respectiva reclamação.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