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5" w:rsidRDefault="00D34465" w:rsidP="00D34465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D34465" w:rsidRPr="00D34465" w:rsidRDefault="00D34465" w:rsidP="00D34465">
      <w:pPr>
        <w:spacing w:line="360" w:lineRule="auto"/>
        <w:jc w:val="center"/>
        <w:rPr>
          <w:rFonts w:ascii="Bookman Old Style" w:hAnsi="Bookman Old Style"/>
          <w:b/>
          <w:szCs w:val="24"/>
        </w:rPr>
      </w:pPr>
      <w:r w:rsidRPr="00D34465">
        <w:rPr>
          <w:rFonts w:ascii="Bookman Old Style" w:hAnsi="Bookman Old Style"/>
          <w:b/>
          <w:szCs w:val="24"/>
        </w:rPr>
        <w:t xml:space="preserve">PROJETO DE LEI Nº </w:t>
      </w:r>
      <w:bookmarkStart w:id="0" w:name="_GoBack"/>
      <w:bookmarkEnd w:id="0"/>
      <w:r w:rsidRPr="00D34465">
        <w:rPr>
          <w:rFonts w:ascii="Bookman Old Style" w:hAnsi="Bookman Old Style"/>
          <w:b/>
          <w:szCs w:val="24"/>
        </w:rPr>
        <w:t>____/2019</w:t>
      </w:r>
    </w:p>
    <w:p w:rsidR="00D34465" w:rsidRPr="00D34465" w:rsidRDefault="00D34465" w:rsidP="00D34465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D34465" w:rsidRPr="00D34465" w:rsidRDefault="00D34465" w:rsidP="00D34465">
      <w:pPr>
        <w:spacing w:line="360" w:lineRule="auto"/>
        <w:jc w:val="center"/>
        <w:rPr>
          <w:rFonts w:ascii="Bookman Old Style" w:hAnsi="Bookman Old Style"/>
          <w:b/>
          <w:szCs w:val="24"/>
        </w:rPr>
      </w:pPr>
      <w:r w:rsidRPr="00D34465">
        <w:rPr>
          <w:rFonts w:ascii="Bookman Old Style" w:hAnsi="Bookman Old Style"/>
          <w:b/>
          <w:szCs w:val="24"/>
        </w:rPr>
        <w:tab/>
      </w:r>
    </w:p>
    <w:p w:rsidR="00D34465" w:rsidRPr="00D34465" w:rsidRDefault="00D34465" w:rsidP="00D34465">
      <w:pPr>
        <w:spacing w:line="276" w:lineRule="auto"/>
        <w:ind w:left="4248"/>
        <w:jc w:val="both"/>
        <w:rPr>
          <w:rFonts w:ascii="Bookman Old Style" w:hAnsi="Bookman Old Style"/>
          <w:b/>
          <w:szCs w:val="24"/>
        </w:rPr>
      </w:pPr>
      <w:r w:rsidRPr="00D34465">
        <w:rPr>
          <w:rFonts w:ascii="Bookman Old Style" w:hAnsi="Bookman Old Style"/>
          <w:b/>
          <w:szCs w:val="24"/>
        </w:rPr>
        <w:t xml:space="preserve">VEDA A CONTRATAÇÃO PELA ADMINISTRAÇÃO PÚBLICA MUNICIPAL DE CONDENADOS POR VIOLÊNCIA DOMÉSTICA E FAMILIAR CONTRA A MULHER, NOS TERMOS DA LEI FEDERAL Nº 11.340 DE 07 DE AGOSTO DE 2006. </w:t>
      </w:r>
    </w:p>
    <w:p w:rsidR="00D34465" w:rsidRPr="00D34465" w:rsidRDefault="00D34465" w:rsidP="00D34465">
      <w:pPr>
        <w:pStyle w:val="Cabealho"/>
        <w:spacing w:line="360" w:lineRule="auto"/>
        <w:ind w:firstLine="2835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spacing w:line="360" w:lineRule="auto"/>
        <w:ind w:firstLine="2835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spacing w:line="360" w:lineRule="auto"/>
        <w:ind w:firstLine="708"/>
        <w:jc w:val="both"/>
        <w:rPr>
          <w:rFonts w:ascii="Bookman Old Style" w:hAnsi="Bookman Old Style"/>
          <w:sz w:val="25"/>
          <w:szCs w:val="25"/>
        </w:rPr>
      </w:pPr>
      <w:r w:rsidRPr="00D34465">
        <w:rPr>
          <w:rFonts w:ascii="Bookman Old Style" w:hAnsi="Bookman Old Style"/>
          <w:sz w:val="25"/>
          <w:szCs w:val="25"/>
        </w:rPr>
        <w:t xml:space="preserve">                              A Câmara Municipal de Tatuí, Estado de São Paulo, aprova e a Chefe do Poder Executivo sanciona e promulga a seguinte Lei:</w:t>
      </w: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  <w:r w:rsidRPr="00D34465">
        <w:rPr>
          <w:rFonts w:ascii="Bookman Old Style" w:hAnsi="Bookman Old Style"/>
          <w:szCs w:val="24"/>
        </w:rPr>
        <w:t>Art. 1º Fica vedada a nomeação, pela Administração Pública direta e indireta no âmbito municipal, para todos os cargos em comissão de livre n</w:t>
      </w:r>
      <w:r w:rsidR="00741769">
        <w:rPr>
          <w:rFonts w:ascii="Bookman Old Style" w:hAnsi="Bookman Old Style"/>
          <w:szCs w:val="24"/>
        </w:rPr>
        <w:t xml:space="preserve">omeação e exoneração, bem como por </w:t>
      </w:r>
      <w:r w:rsidRPr="00D34465">
        <w:rPr>
          <w:rFonts w:ascii="Bookman Old Style" w:hAnsi="Bookman Old Style"/>
          <w:szCs w:val="24"/>
        </w:rPr>
        <w:t xml:space="preserve">concurso público, de pessoas que tiverem sido condenadas nas condições previstas na Lei Federal nº 11.340, de 07 de Agosto de 2006 (Lei Maria da Penha). </w:t>
      </w: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  <w:r w:rsidRPr="00D34465">
        <w:rPr>
          <w:rFonts w:ascii="Bookman Old Style" w:hAnsi="Bookman Old Style"/>
          <w:szCs w:val="24"/>
        </w:rPr>
        <w:t xml:space="preserve">Parágrafo único. Tal vedação será considerada a partir da condenação em decisão transitada em julgado, perdurando até o comprovado cumprimento da pena. </w:t>
      </w:r>
    </w:p>
    <w:p w:rsidR="00D34465" w:rsidRPr="00D34465" w:rsidRDefault="00D34465" w:rsidP="00D34465">
      <w:pPr>
        <w:pStyle w:val="Cabealho"/>
        <w:spacing w:line="360" w:lineRule="auto"/>
        <w:jc w:val="both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  <w:r w:rsidRPr="00D34465">
        <w:rPr>
          <w:rFonts w:ascii="Bookman Old Style" w:hAnsi="Bookman Old Style"/>
          <w:szCs w:val="24"/>
        </w:rPr>
        <w:t>Art. 2º As despesas com a execução da presente Lei correrão por conta de verba orçamentária própria.</w:t>
      </w:r>
    </w:p>
    <w:p w:rsidR="00D34465" w:rsidRPr="00D34465" w:rsidRDefault="00D34465" w:rsidP="00D34465">
      <w:pPr>
        <w:pStyle w:val="Cabealho"/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  <w:r w:rsidRPr="00D34465">
        <w:rPr>
          <w:rFonts w:ascii="Bookman Old Style" w:hAnsi="Bookman Old Style"/>
          <w:szCs w:val="24"/>
        </w:rPr>
        <w:lastRenderedPageBreak/>
        <w:tab/>
      </w: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szCs w:val="24"/>
        </w:rPr>
        <w:tab/>
      </w:r>
    </w:p>
    <w:p w:rsidR="00D34465" w:rsidRPr="00D34465" w:rsidRDefault="00D34465" w:rsidP="00D34465">
      <w:pPr>
        <w:spacing w:line="360" w:lineRule="auto"/>
        <w:jc w:val="both"/>
        <w:rPr>
          <w:rFonts w:ascii="Bookman Old Style" w:hAnsi="Bookman Old Style"/>
          <w:szCs w:val="24"/>
        </w:rPr>
      </w:pP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szCs w:val="24"/>
        </w:rPr>
        <w:tab/>
      </w:r>
      <w:r w:rsidRPr="00D34465">
        <w:rPr>
          <w:rFonts w:ascii="Bookman Old Style" w:hAnsi="Bookman Old Style"/>
          <w:bCs/>
          <w:szCs w:val="24"/>
        </w:rPr>
        <w:t xml:space="preserve">Art. 3º </w:t>
      </w:r>
      <w:r w:rsidRPr="00D34465">
        <w:rPr>
          <w:rFonts w:ascii="Bookman Old Style" w:hAnsi="Bookman Old Style"/>
          <w:szCs w:val="24"/>
        </w:rPr>
        <w:t>Esta lei entra em vigor na data de sua publicação.</w:t>
      </w:r>
    </w:p>
    <w:p w:rsidR="00D34465" w:rsidRPr="00D34465" w:rsidRDefault="00D34465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</w:p>
    <w:p w:rsidR="00D34465" w:rsidRPr="00D34465" w:rsidRDefault="00D34465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  <w:szCs w:val="24"/>
        </w:rPr>
      </w:pPr>
    </w:p>
    <w:p w:rsidR="00D34465" w:rsidRDefault="00D34465" w:rsidP="00D34465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</w:t>
      </w:r>
      <w:proofErr w:type="spellStart"/>
      <w:r w:rsidRPr="00EB181A">
        <w:rPr>
          <w:rFonts w:ascii="Bookman Old Style" w:hAnsi="Bookman Old Style" w:cs="Arial"/>
          <w:sz w:val="25"/>
          <w:szCs w:val="25"/>
        </w:rPr>
        <w:t>Orsi</w:t>
      </w:r>
      <w:proofErr w:type="spellEnd"/>
      <w:r w:rsidRPr="00EB181A">
        <w:rPr>
          <w:rFonts w:ascii="Bookman Old Style" w:hAnsi="Bookman Old Style" w:cs="Arial"/>
          <w:sz w:val="25"/>
          <w:szCs w:val="25"/>
        </w:rPr>
        <w:t xml:space="preserve"> Filho, </w:t>
      </w:r>
      <w:r>
        <w:rPr>
          <w:rFonts w:ascii="Bookman Old Style" w:hAnsi="Bookman Old Style" w:cs="Arial"/>
          <w:sz w:val="25"/>
          <w:szCs w:val="25"/>
        </w:rPr>
        <w:t xml:space="preserve">12 </w:t>
      </w:r>
      <w:r w:rsidRPr="00EB181A">
        <w:rPr>
          <w:rFonts w:ascii="Bookman Old Style" w:hAnsi="Bookman Old Style" w:cs="Arial"/>
          <w:sz w:val="25"/>
          <w:szCs w:val="25"/>
        </w:rPr>
        <w:t xml:space="preserve">de </w:t>
      </w:r>
      <w:r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D34465" w:rsidRPr="00293620" w:rsidRDefault="00D34465" w:rsidP="00D34465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D34465" w:rsidRPr="00EB181A" w:rsidRDefault="00D34465" w:rsidP="00D34465">
      <w:pPr>
        <w:jc w:val="center"/>
        <w:rPr>
          <w:rFonts w:ascii="Bookman Old Style" w:hAnsi="Bookman Old Style"/>
          <w:sz w:val="25"/>
          <w:szCs w:val="25"/>
        </w:rPr>
      </w:pPr>
    </w:p>
    <w:p w:rsidR="00D34465" w:rsidRPr="00293620" w:rsidRDefault="00D34465" w:rsidP="007D64A1">
      <w:pPr>
        <w:spacing w:line="276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293620">
        <w:rPr>
          <w:rFonts w:ascii="Bookman Old Style" w:hAnsi="Bookman Old Style"/>
          <w:b/>
          <w:sz w:val="25"/>
          <w:szCs w:val="25"/>
        </w:rPr>
        <w:t>ANTONIO MARCOS DE ABREU</w:t>
      </w:r>
    </w:p>
    <w:p w:rsidR="00D34465" w:rsidRPr="00EB181A" w:rsidRDefault="00741769" w:rsidP="007D64A1">
      <w:pPr>
        <w:spacing w:line="276" w:lineRule="auto"/>
        <w:jc w:val="center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(Marquinho de Abreu)</w:t>
      </w:r>
    </w:p>
    <w:p w:rsidR="00D34465" w:rsidRPr="00EB181A" w:rsidRDefault="00D34465" w:rsidP="007D64A1">
      <w:pPr>
        <w:spacing w:line="276" w:lineRule="auto"/>
        <w:jc w:val="center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sz w:val="25"/>
          <w:szCs w:val="25"/>
        </w:rPr>
        <w:t xml:space="preserve">VEREADOR </w:t>
      </w:r>
      <w:r>
        <w:rPr>
          <w:rFonts w:ascii="Bookman Old Style" w:hAnsi="Bookman Old Style"/>
          <w:sz w:val="25"/>
          <w:szCs w:val="25"/>
        </w:rPr>
        <w:t>–</w:t>
      </w:r>
      <w:r w:rsidRPr="00EB181A">
        <w:rPr>
          <w:rFonts w:ascii="Bookman Old Style" w:hAnsi="Bookman Old Style"/>
          <w:sz w:val="25"/>
          <w:szCs w:val="25"/>
        </w:rPr>
        <w:t xml:space="preserve"> P</w:t>
      </w:r>
      <w:r>
        <w:rPr>
          <w:rFonts w:ascii="Bookman Old Style" w:hAnsi="Bookman Old Style"/>
          <w:sz w:val="25"/>
          <w:szCs w:val="25"/>
        </w:rPr>
        <w:t>L.</w:t>
      </w:r>
    </w:p>
    <w:p w:rsidR="00D34465" w:rsidRDefault="00D34465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Default="007D64A1" w:rsidP="00D34465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man Old Style" w:hAnsi="Bookman Old Style"/>
        </w:rPr>
      </w:pPr>
    </w:p>
    <w:p w:rsidR="007D64A1" w:rsidRPr="007D64A1" w:rsidRDefault="007D64A1" w:rsidP="007D64A1">
      <w:pPr>
        <w:spacing w:line="360" w:lineRule="auto"/>
        <w:jc w:val="center"/>
        <w:rPr>
          <w:rFonts w:ascii="Bookman Old Style" w:hAnsi="Bookman Old Style"/>
          <w:b/>
          <w:szCs w:val="24"/>
        </w:rPr>
      </w:pPr>
      <w:r w:rsidRPr="007D64A1">
        <w:rPr>
          <w:rFonts w:ascii="Bookman Old Style" w:hAnsi="Bookman Old Style"/>
          <w:b/>
          <w:szCs w:val="24"/>
        </w:rPr>
        <w:t>JUSTIFICATIVA:</w:t>
      </w:r>
    </w:p>
    <w:p w:rsidR="007D64A1" w:rsidRPr="007D64A1" w:rsidRDefault="007D64A1" w:rsidP="007D64A1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>A Administração Pública deve zelar por toda contratação por ela realizada, seja por órgãos da administração direta ou indireta;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 xml:space="preserve">Um dado assustador é o que indica o número de mulheres mortas por seus parceiros no País. A Organização Mundial de Saúde (OMS) estima que no Brasil ocorram </w:t>
      </w:r>
      <w:proofErr w:type="gramStart"/>
      <w:r w:rsidRPr="007D64A1">
        <w:rPr>
          <w:rFonts w:ascii="Bookman Old Style" w:hAnsi="Bookman Old Style"/>
          <w:szCs w:val="24"/>
        </w:rPr>
        <w:t>5</w:t>
      </w:r>
      <w:proofErr w:type="gramEnd"/>
      <w:r w:rsidRPr="007D64A1">
        <w:rPr>
          <w:rFonts w:ascii="Bookman Old Style" w:hAnsi="Bookman Old Style"/>
          <w:szCs w:val="24"/>
        </w:rPr>
        <w:t xml:space="preserve"> </w:t>
      </w:r>
      <w:proofErr w:type="spellStart"/>
      <w:r w:rsidRPr="007D64A1">
        <w:rPr>
          <w:rFonts w:ascii="Bookman Old Style" w:hAnsi="Bookman Old Style"/>
          <w:szCs w:val="24"/>
        </w:rPr>
        <w:t>feminicídios</w:t>
      </w:r>
      <w:proofErr w:type="spellEnd"/>
      <w:r w:rsidRPr="007D64A1">
        <w:rPr>
          <w:rFonts w:ascii="Bookman Old Style" w:hAnsi="Bookman Old Style"/>
          <w:szCs w:val="24"/>
        </w:rPr>
        <w:t xml:space="preserve"> para cada grupo de 100 mil mulheres;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>Historicamente, a mulher não teve apoio e suporte para procurar o dispositivo legal para afastar o agressor.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 xml:space="preserve">A Lei </w:t>
      </w:r>
      <w:proofErr w:type="gramStart"/>
      <w:r w:rsidRPr="007D64A1">
        <w:rPr>
          <w:rFonts w:ascii="Bookman Old Style" w:hAnsi="Bookman Old Style"/>
          <w:szCs w:val="24"/>
        </w:rPr>
        <w:t>nº11.</w:t>
      </w:r>
      <w:proofErr w:type="gramEnd"/>
      <w:r w:rsidRPr="007D64A1">
        <w:rPr>
          <w:rFonts w:ascii="Bookman Old Style" w:hAnsi="Bookman Old Style"/>
          <w:szCs w:val="24"/>
        </w:rPr>
        <w:t>340/2006 – popularmente conhecida como Lei Maria da Penha – é o dispositivo mais comum para prevenção da violência contra a mulher, mas não deve ser visto de forma isolada, outros mecanismos devem ser propostos para evitar tais ações, bem como, penalizar o agressor de forma severa;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>Quanto à legalidade da presente propositura, entendemos ser concorrente, respeitando o Princípio da Separação de Poderes</w:t>
      </w:r>
      <w:r w:rsidRPr="007D64A1">
        <w:rPr>
          <w:rStyle w:val="Refdenotaderodap"/>
          <w:rFonts w:ascii="Bookman Old Style" w:hAnsi="Bookman Old Style"/>
          <w:szCs w:val="24"/>
        </w:rPr>
        <w:footnoteReference w:id="1"/>
      </w:r>
      <w:r w:rsidRPr="007D64A1">
        <w:rPr>
          <w:rFonts w:ascii="Bookman Old Style" w:hAnsi="Bookman Old Style"/>
          <w:szCs w:val="24"/>
        </w:rPr>
        <w:t>, inclusive já tendo sido objeto de projetos de iniciativa do Poder Legislativo de outros Estados</w:t>
      </w:r>
      <w:r w:rsidRPr="007D64A1">
        <w:rPr>
          <w:rStyle w:val="Refdenotaderodap"/>
          <w:rFonts w:ascii="Bookman Old Style" w:hAnsi="Bookman Old Style"/>
          <w:szCs w:val="24"/>
        </w:rPr>
        <w:footnoteReference w:id="2"/>
      </w:r>
      <w:r>
        <w:rPr>
          <w:rFonts w:ascii="Bookman Old Style" w:hAnsi="Bookman Old Style"/>
          <w:szCs w:val="24"/>
        </w:rPr>
        <w:t>.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szCs w:val="24"/>
        </w:rPr>
        <w:tab/>
        <w:t xml:space="preserve">Sobre o Princípio da Separação de Poderes, leciona Montesquieu (um dos formuladores do princípio em questão), tal </w:t>
      </w:r>
      <w:r w:rsidRPr="007D64A1">
        <w:rPr>
          <w:rFonts w:ascii="Bookman Old Style" w:hAnsi="Bookman Old Style"/>
          <w:szCs w:val="24"/>
        </w:rPr>
        <w:lastRenderedPageBreak/>
        <w:t>separação de Poderes (leia-se, como visto, separação de funções) se deve ao fato de que: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szCs w:val="24"/>
        </w:rPr>
      </w:pPr>
    </w:p>
    <w:p w:rsidR="007D64A1" w:rsidRPr="007D64A1" w:rsidRDefault="007D64A1" w:rsidP="007D64A1">
      <w:pPr>
        <w:pBdr>
          <w:left w:val="single" w:sz="4" w:space="4" w:color="auto"/>
        </w:pBdr>
        <w:tabs>
          <w:tab w:val="left" w:pos="1701"/>
        </w:tabs>
        <w:overflowPunct/>
        <w:autoSpaceDE/>
        <w:autoSpaceDN/>
        <w:adjustRightInd/>
        <w:spacing w:line="360" w:lineRule="auto"/>
        <w:ind w:left="1701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  <w:r w:rsidRPr="007D64A1">
        <w:rPr>
          <w:rFonts w:ascii="Bookman Old Style" w:hAnsi="Bookman Old Style"/>
          <w:i/>
          <w:szCs w:val="24"/>
        </w:rPr>
        <w:t>“tudo estaria perdido se o mesmo homem ou o mesmo corpo dos principais ou dos nobres, ou do povo, exercesse esses três poderes: o de fazer as leis, o de executar as resoluções públicas, e o de julgar os crimes ou as divergências dos indivíduos</w:t>
      </w:r>
      <w:proofErr w:type="gramStart"/>
      <w:r w:rsidRPr="007D64A1">
        <w:rPr>
          <w:rFonts w:ascii="Bookman Old Style" w:hAnsi="Bookman Old Style"/>
          <w:i/>
          <w:szCs w:val="24"/>
        </w:rPr>
        <w:t>”</w:t>
      </w:r>
      <w:proofErr w:type="gramEnd"/>
      <w:r w:rsidRPr="007D64A1">
        <w:rPr>
          <w:rStyle w:val="Refdenotaderodap"/>
          <w:rFonts w:ascii="Bookman Old Style" w:hAnsi="Bookman Old Style"/>
          <w:i/>
          <w:szCs w:val="24"/>
        </w:rPr>
        <w:footnoteReference w:id="3"/>
      </w:r>
      <w:r>
        <w:rPr>
          <w:rFonts w:ascii="Bookman Old Style" w:hAnsi="Bookman Old Style"/>
          <w:i/>
          <w:szCs w:val="24"/>
        </w:rPr>
        <w:t>.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ab/>
        <w:t>Ademais, nesta situação de concentração de poderes não haveria liberdade política nem controle mútuo e recíproco (</w:t>
      </w:r>
      <w:proofErr w:type="spellStart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>checks</w:t>
      </w:r>
      <w:proofErr w:type="spellEnd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 xml:space="preserve"> </w:t>
      </w:r>
      <w:proofErr w:type="spellStart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>and</w:t>
      </w:r>
      <w:proofErr w:type="spellEnd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 xml:space="preserve"> balances</w:t>
      </w:r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>; sistema de freios e contrapesos entre os Poderes, essenciais às liberdades públicas) entre os Poderes estatais, o que resultaria em despotismo, tirania, arbitrariedade e opressão por parte dos que ocupassem as funções estatais carentes de separação, nocivos tanto ao próprio Estado quanto aos direitos fundamentais dos cidadãos (governados).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ab/>
        <w:t>Assim, além da divisão de funções do Poder político, revela-se necessário que “</w:t>
      </w:r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>essas distintas funções sejam exercidas por órgãos também distintos, da forma a mais especializada possível, todos situados num mesmo plano, sem haver qualquer relação de subordinação entre eles</w:t>
      </w:r>
      <w:proofErr w:type="gramStart"/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>”</w:t>
      </w:r>
      <w:proofErr w:type="gramEnd"/>
      <w:r w:rsidRPr="007D64A1">
        <w:rPr>
          <w:rStyle w:val="Refdenotaderodap"/>
          <w:rFonts w:ascii="Bookman Old Style" w:hAnsi="Bookman Old Style"/>
          <w:color w:val="000000"/>
          <w:szCs w:val="24"/>
          <w:shd w:val="clear" w:color="auto" w:fill="FFFFFF"/>
        </w:rPr>
        <w:footnoteReference w:id="4"/>
      </w:r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 xml:space="preserve">. Noutras palavras, é imprescindível, como sintetizado por </w:t>
      </w:r>
      <w:proofErr w:type="spellStart"/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>Dirley</w:t>
      </w:r>
      <w:proofErr w:type="spellEnd"/>
      <w:r w:rsidRPr="007D64A1">
        <w:rPr>
          <w:rFonts w:ascii="Bookman Old Style" w:hAnsi="Bookman Old Style"/>
          <w:color w:val="000000"/>
          <w:szCs w:val="24"/>
          <w:shd w:val="clear" w:color="auto" w:fill="FFFFFF"/>
        </w:rPr>
        <w:t xml:space="preserve"> da Cunha Júnior, que:</w:t>
      </w:r>
    </w:p>
    <w:p w:rsidR="007D64A1" w:rsidRPr="007D64A1" w:rsidRDefault="007D64A1" w:rsidP="007D64A1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</w:p>
    <w:p w:rsidR="007D64A1" w:rsidRPr="007D64A1" w:rsidRDefault="007D64A1" w:rsidP="007D64A1">
      <w:pPr>
        <w:pBdr>
          <w:left w:val="single" w:sz="4" w:space="4" w:color="auto"/>
        </w:pBdr>
        <w:tabs>
          <w:tab w:val="left" w:pos="1701"/>
        </w:tabs>
        <w:overflowPunct/>
        <w:autoSpaceDE/>
        <w:autoSpaceDN/>
        <w:adjustRightInd/>
        <w:spacing w:line="360" w:lineRule="auto"/>
        <w:ind w:left="1701"/>
        <w:jc w:val="both"/>
        <w:textAlignment w:val="auto"/>
        <w:rPr>
          <w:rFonts w:ascii="Bookman Old Style" w:hAnsi="Bookman Old Style"/>
          <w:color w:val="000000"/>
          <w:szCs w:val="24"/>
          <w:shd w:val="clear" w:color="auto" w:fill="FFFFFF"/>
        </w:rPr>
      </w:pPr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 xml:space="preserve">(...) os Poderes Legislativo, Executivo e Judiciário sejam desempenhados por órgãos diferentes, “de maneira que, sem nenhum usurpar as funções dos outros, possa cada </w:t>
      </w:r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lastRenderedPageBreak/>
        <w:t xml:space="preserve">qual impedir que os restantes exorbitem da sua esfera própria de ação”. Só assim é possível o controle do poder pelo poder, só assim é possível </w:t>
      </w:r>
      <w:proofErr w:type="gramStart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>a</w:t>
      </w:r>
      <w:proofErr w:type="gramEnd"/>
      <w:r w:rsidRPr="007D64A1">
        <w:rPr>
          <w:rFonts w:ascii="Bookman Old Style" w:hAnsi="Bookman Old Style"/>
          <w:i/>
          <w:color w:val="000000"/>
          <w:szCs w:val="24"/>
          <w:shd w:val="clear" w:color="auto" w:fill="FFFFFF"/>
        </w:rPr>
        <w:t xml:space="preserve"> plena realização da separação de Poderes, que se traduz – sintetizamos – na separação funcional (cada função deve ser confiada a cada órgão da maneira mais especializada possível) e na separação orgânica (os órgãos da soberania devem ter independência mútua e devem estar, em tudo, em idêntico pé de igualdade). É essa a essência da doutrina da separação de Poderes.</w:t>
      </w:r>
      <w:proofErr w:type="gramStart"/>
      <w:r w:rsidRPr="007D64A1">
        <w:rPr>
          <w:rStyle w:val="Refdenotaderodap"/>
          <w:rFonts w:ascii="Bookman Old Style" w:hAnsi="Bookman Old Style"/>
          <w:i/>
          <w:color w:val="000000"/>
          <w:szCs w:val="24"/>
          <w:shd w:val="clear" w:color="auto" w:fill="FFFFFF"/>
        </w:rPr>
        <w:footnoteReference w:id="5"/>
      </w:r>
      <w:proofErr w:type="gramEnd"/>
    </w:p>
    <w:p w:rsidR="007D64A1" w:rsidRPr="007D64A1" w:rsidRDefault="007D64A1" w:rsidP="007D64A1">
      <w:pPr>
        <w:tabs>
          <w:tab w:val="left" w:pos="1701"/>
        </w:tabs>
        <w:spacing w:line="360" w:lineRule="auto"/>
        <w:jc w:val="both"/>
        <w:rPr>
          <w:rFonts w:ascii="Bookman Old Style" w:hAnsi="Bookman Old Style"/>
          <w:color w:val="000000"/>
          <w:szCs w:val="24"/>
        </w:rPr>
      </w:pPr>
    </w:p>
    <w:p w:rsidR="007D64A1" w:rsidRPr="007D64A1" w:rsidRDefault="007D64A1" w:rsidP="007D64A1">
      <w:pPr>
        <w:tabs>
          <w:tab w:val="left" w:pos="1701"/>
        </w:tabs>
        <w:spacing w:line="360" w:lineRule="auto"/>
        <w:ind w:firstLine="1418"/>
        <w:jc w:val="both"/>
        <w:rPr>
          <w:rFonts w:ascii="Bookman Old Style" w:hAnsi="Bookman Old Style"/>
          <w:szCs w:val="24"/>
        </w:rPr>
      </w:pPr>
      <w:r w:rsidRPr="007D64A1">
        <w:rPr>
          <w:rFonts w:ascii="Bookman Old Style" w:hAnsi="Bookman Old Style"/>
          <w:color w:val="000000"/>
          <w:szCs w:val="24"/>
        </w:rPr>
        <w:tab/>
        <w:t xml:space="preserve">E é por essa razão, visando </w:t>
      </w:r>
      <w:proofErr w:type="gramStart"/>
      <w:r w:rsidRPr="007D64A1">
        <w:rPr>
          <w:rFonts w:ascii="Bookman Old Style" w:hAnsi="Bookman Old Style"/>
          <w:color w:val="000000"/>
          <w:szCs w:val="24"/>
        </w:rPr>
        <w:t>a</w:t>
      </w:r>
      <w:proofErr w:type="gramEnd"/>
      <w:r w:rsidRPr="007D64A1">
        <w:rPr>
          <w:rFonts w:ascii="Bookman Old Style" w:hAnsi="Bookman Old Style"/>
          <w:color w:val="000000"/>
          <w:szCs w:val="24"/>
        </w:rPr>
        <w:t xml:space="preserve"> proteção e valorização da mulher, buscando o equilíbrio das ações relacionadas às contratações realizadas pela Administração Pública (direta e indireta), o que esperamos aprovação dos nobres pares.</w:t>
      </w:r>
      <w:r w:rsidRPr="007D64A1">
        <w:rPr>
          <w:rFonts w:ascii="Bookman Old Style" w:hAnsi="Bookman Old Style"/>
          <w:szCs w:val="24"/>
        </w:rPr>
        <w:tab/>
      </w:r>
    </w:p>
    <w:p w:rsidR="007D64A1" w:rsidRPr="007D64A1" w:rsidRDefault="007D64A1" w:rsidP="007D64A1">
      <w:pPr>
        <w:tabs>
          <w:tab w:val="left" w:pos="1701"/>
        </w:tabs>
        <w:spacing w:line="360" w:lineRule="auto"/>
        <w:ind w:firstLine="1418"/>
        <w:jc w:val="both"/>
        <w:rPr>
          <w:rFonts w:ascii="Bookman Old Style" w:hAnsi="Bookman Old Style"/>
          <w:szCs w:val="24"/>
        </w:rPr>
      </w:pPr>
    </w:p>
    <w:p w:rsidR="007D64A1" w:rsidRDefault="007D64A1" w:rsidP="007D64A1">
      <w:pPr>
        <w:tabs>
          <w:tab w:val="left" w:pos="1701"/>
        </w:tabs>
        <w:ind w:firstLine="1418"/>
        <w:jc w:val="both"/>
        <w:rPr>
          <w:color w:val="000000"/>
          <w:szCs w:val="24"/>
        </w:rPr>
      </w:pPr>
    </w:p>
    <w:p w:rsidR="007D64A1" w:rsidRDefault="007D64A1" w:rsidP="007D64A1">
      <w:pPr>
        <w:tabs>
          <w:tab w:val="left" w:pos="1701"/>
        </w:tabs>
        <w:ind w:firstLine="1418"/>
        <w:jc w:val="both"/>
        <w:rPr>
          <w:color w:val="000000"/>
          <w:szCs w:val="24"/>
        </w:rPr>
      </w:pPr>
    </w:p>
    <w:p w:rsidR="007D64A1" w:rsidRDefault="007D64A1" w:rsidP="007D64A1">
      <w:pPr>
        <w:tabs>
          <w:tab w:val="left" w:pos="1701"/>
        </w:tabs>
        <w:ind w:firstLine="1418"/>
        <w:jc w:val="both"/>
        <w:rPr>
          <w:color w:val="000000"/>
          <w:szCs w:val="24"/>
        </w:rPr>
      </w:pPr>
    </w:p>
    <w:p w:rsidR="007D64A1" w:rsidRDefault="007D64A1" w:rsidP="007D64A1">
      <w:pPr>
        <w:tabs>
          <w:tab w:val="left" w:pos="1701"/>
        </w:tabs>
        <w:ind w:firstLine="1418"/>
        <w:jc w:val="both"/>
        <w:rPr>
          <w:color w:val="000000"/>
          <w:szCs w:val="24"/>
        </w:rPr>
      </w:pPr>
    </w:p>
    <w:p w:rsidR="007D64A1" w:rsidRDefault="007D64A1" w:rsidP="007D64A1">
      <w:pPr>
        <w:tabs>
          <w:tab w:val="left" w:pos="1701"/>
        </w:tabs>
        <w:ind w:firstLine="1418"/>
        <w:jc w:val="both"/>
        <w:rPr>
          <w:color w:val="000000"/>
          <w:szCs w:val="24"/>
        </w:rPr>
      </w:pPr>
    </w:p>
    <w:p w:rsidR="007D64A1" w:rsidRDefault="007D64A1" w:rsidP="007D64A1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</w:t>
      </w:r>
      <w:proofErr w:type="spellStart"/>
      <w:r w:rsidRPr="00EB181A">
        <w:rPr>
          <w:rFonts w:ascii="Bookman Old Style" w:hAnsi="Bookman Old Style" w:cs="Arial"/>
          <w:sz w:val="25"/>
          <w:szCs w:val="25"/>
        </w:rPr>
        <w:t>Orsi</w:t>
      </w:r>
      <w:proofErr w:type="spellEnd"/>
      <w:r w:rsidRPr="00EB181A">
        <w:rPr>
          <w:rFonts w:ascii="Bookman Old Style" w:hAnsi="Bookman Old Style" w:cs="Arial"/>
          <w:sz w:val="25"/>
          <w:szCs w:val="25"/>
        </w:rPr>
        <w:t xml:space="preserve"> Filho, </w:t>
      </w:r>
      <w:r>
        <w:rPr>
          <w:rFonts w:ascii="Bookman Old Style" w:hAnsi="Bookman Old Style" w:cs="Arial"/>
          <w:sz w:val="25"/>
          <w:szCs w:val="25"/>
        </w:rPr>
        <w:t>12</w:t>
      </w:r>
      <w:proofErr w:type="gramStart"/>
      <w:r>
        <w:rPr>
          <w:rFonts w:ascii="Bookman Old Style" w:hAnsi="Bookman Old Style" w:cs="Arial"/>
          <w:sz w:val="25"/>
          <w:szCs w:val="25"/>
        </w:rPr>
        <w:t xml:space="preserve"> </w:t>
      </w:r>
      <w:r w:rsidRPr="00EB181A">
        <w:rPr>
          <w:rFonts w:ascii="Bookman Old Style" w:hAnsi="Bookman Old Style" w:cs="Arial"/>
          <w:sz w:val="25"/>
          <w:szCs w:val="25"/>
        </w:rPr>
        <w:t xml:space="preserve"> </w:t>
      </w:r>
      <w:proofErr w:type="gramEnd"/>
      <w:r w:rsidRPr="00EB181A">
        <w:rPr>
          <w:rFonts w:ascii="Bookman Old Style" w:hAnsi="Bookman Old Style" w:cs="Arial"/>
          <w:sz w:val="25"/>
          <w:szCs w:val="25"/>
        </w:rPr>
        <w:t xml:space="preserve">de </w:t>
      </w:r>
      <w:r>
        <w:rPr>
          <w:rFonts w:ascii="Bookman Old Style" w:hAnsi="Bookman Old Style" w:cs="Arial"/>
          <w:sz w:val="25"/>
          <w:szCs w:val="25"/>
        </w:rPr>
        <w:t>junho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7D64A1" w:rsidRPr="00293620" w:rsidRDefault="007D64A1" w:rsidP="007D64A1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</w:p>
    <w:p w:rsidR="007D64A1" w:rsidRPr="00EB181A" w:rsidRDefault="007D64A1" w:rsidP="007D64A1">
      <w:pPr>
        <w:jc w:val="center"/>
        <w:rPr>
          <w:rFonts w:ascii="Bookman Old Style" w:hAnsi="Bookman Old Style"/>
          <w:sz w:val="25"/>
          <w:szCs w:val="25"/>
        </w:rPr>
      </w:pPr>
    </w:p>
    <w:p w:rsidR="007D64A1" w:rsidRPr="00293620" w:rsidRDefault="007D64A1" w:rsidP="007D64A1">
      <w:pPr>
        <w:spacing w:line="276" w:lineRule="auto"/>
        <w:jc w:val="center"/>
        <w:rPr>
          <w:rFonts w:ascii="Bookman Old Style" w:hAnsi="Bookman Old Style"/>
          <w:b/>
          <w:sz w:val="25"/>
          <w:szCs w:val="25"/>
        </w:rPr>
      </w:pPr>
      <w:r w:rsidRPr="00293620">
        <w:rPr>
          <w:rFonts w:ascii="Bookman Old Style" w:hAnsi="Bookman Old Style"/>
          <w:b/>
          <w:sz w:val="25"/>
          <w:szCs w:val="25"/>
        </w:rPr>
        <w:t>ANTONIO MARCOS DE ABREU</w:t>
      </w:r>
    </w:p>
    <w:p w:rsidR="007D64A1" w:rsidRPr="00EB181A" w:rsidRDefault="00741769" w:rsidP="007D64A1">
      <w:pPr>
        <w:spacing w:line="276" w:lineRule="auto"/>
        <w:jc w:val="center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(Marquinho de Abreu)</w:t>
      </w:r>
    </w:p>
    <w:p w:rsidR="007D64A1" w:rsidRPr="00EB181A" w:rsidRDefault="007D64A1" w:rsidP="007D64A1">
      <w:pPr>
        <w:spacing w:line="276" w:lineRule="auto"/>
        <w:jc w:val="center"/>
        <w:rPr>
          <w:rFonts w:ascii="Bookman Old Style" w:hAnsi="Bookman Old Style"/>
          <w:sz w:val="25"/>
          <w:szCs w:val="25"/>
        </w:rPr>
      </w:pPr>
      <w:r w:rsidRPr="00EB181A">
        <w:rPr>
          <w:rFonts w:ascii="Bookman Old Style" w:hAnsi="Bookman Old Style"/>
          <w:sz w:val="25"/>
          <w:szCs w:val="25"/>
        </w:rPr>
        <w:t xml:space="preserve">VEREADOR </w:t>
      </w:r>
      <w:r>
        <w:rPr>
          <w:rFonts w:ascii="Bookman Old Style" w:hAnsi="Bookman Old Style"/>
          <w:sz w:val="25"/>
          <w:szCs w:val="25"/>
        </w:rPr>
        <w:t>–</w:t>
      </w:r>
      <w:r w:rsidRPr="00EB181A">
        <w:rPr>
          <w:rFonts w:ascii="Bookman Old Style" w:hAnsi="Bookman Old Style"/>
          <w:sz w:val="25"/>
          <w:szCs w:val="25"/>
        </w:rPr>
        <w:t xml:space="preserve"> P</w:t>
      </w:r>
      <w:r>
        <w:rPr>
          <w:rFonts w:ascii="Bookman Old Style" w:hAnsi="Bookman Old Style"/>
          <w:sz w:val="25"/>
          <w:szCs w:val="25"/>
        </w:rPr>
        <w:t>L.</w:t>
      </w:r>
    </w:p>
    <w:p w:rsidR="007D64A1" w:rsidRPr="00D34465" w:rsidRDefault="007D64A1" w:rsidP="007D64A1">
      <w:pPr>
        <w:tabs>
          <w:tab w:val="left" w:pos="1701"/>
        </w:tabs>
        <w:ind w:firstLine="1418"/>
        <w:jc w:val="both"/>
        <w:rPr>
          <w:rFonts w:ascii="Bookman Old Style" w:hAnsi="Bookman Old Style"/>
        </w:rPr>
      </w:pPr>
    </w:p>
    <w:sectPr w:rsidR="007D64A1" w:rsidRPr="00D34465" w:rsidSect="009C0A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57" w:rsidRDefault="00F01357" w:rsidP="00D34465">
      <w:r>
        <w:separator/>
      </w:r>
    </w:p>
  </w:endnote>
  <w:endnote w:type="continuationSeparator" w:id="0">
    <w:p w:rsidR="00F01357" w:rsidRDefault="00F01357" w:rsidP="00D3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57" w:rsidRDefault="00F01357" w:rsidP="00D34465">
      <w:r>
        <w:separator/>
      </w:r>
    </w:p>
  </w:footnote>
  <w:footnote w:type="continuationSeparator" w:id="0">
    <w:p w:rsidR="00F01357" w:rsidRDefault="00F01357" w:rsidP="00D34465">
      <w:r>
        <w:continuationSeparator/>
      </w:r>
    </w:p>
  </w:footnote>
  <w:footnote w:id="1">
    <w:p w:rsidR="007D64A1" w:rsidRDefault="007D64A1" w:rsidP="007D64A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2EC4">
        <w:rPr>
          <w:sz w:val="16"/>
          <w:szCs w:val="16"/>
        </w:rPr>
        <w:t>Art. 2º, CF/88</w:t>
      </w:r>
    </w:p>
  </w:footnote>
  <w:footnote w:id="2">
    <w:p w:rsidR="007D64A1" w:rsidRDefault="007D64A1" w:rsidP="007D64A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F1F1E">
        <w:rPr>
          <w:sz w:val="16"/>
          <w:szCs w:val="16"/>
        </w:rPr>
        <w:t xml:space="preserve">Lei 8.301/19 de autoria da Deputada Estadual do Estado do Rio de Janeiro, Enfermeira </w:t>
      </w:r>
      <w:proofErr w:type="spellStart"/>
      <w:proofErr w:type="gramStart"/>
      <w:r w:rsidRPr="006F1F1E">
        <w:rPr>
          <w:sz w:val="16"/>
          <w:szCs w:val="16"/>
        </w:rPr>
        <w:t>Rejane</w:t>
      </w:r>
      <w:proofErr w:type="spellEnd"/>
      <w:proofErr w:type="gramEnd"/>
      <w:r w:rsidRPr="006F1F1E">
        <w:rPr>
          <w:sz w:val="16"/>
          <w:szCs w:val="16"/>
        </w:rPr>
        <w:t xml:space="preserve"> </w:t>
      </w:r>
    </w:p>
  </w:footnote>
  <w:footnote w:id="3">
    <w:p w:rsidR="007D64A1" w:rsidRDefault="007D64A1" w:rsidP="007D64A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F223E">
        <w:rPr>
          <w:sz w:val="16"/>
          <w:szCs w:val="16"/>
        </w:rPr>
        <w:t xml:space="preserve">MONTESQUIEU, Charles de </w:t>
      </w:r>
      <w:proofErr w:type="spellStart"/>
      <w:r w:rsidRPr="000F223E">
        <w:rPr>
          <w:sz w:val="16"/>
          <w:szCs w:val="16"/>
        </w:rPr>
        <w:t>Secondat</w:t>
      </w:r>
      <w:proofErr w:type="spellEnd"/>
      <w:r w:rsidRPr="000F223E">
        <w:rPr>
          <w:sz w:val="16"/>
          <w:szCs w:val="16"/>
        </w:rPr>
        <w:t xml:space="preserve"> Baron de. O Espírito das Leis. São Paulo: Marins Fontes, 1993, p. 181.</w:t>
      </w:r>
    </w:p>
  </w:footnote>
  <w:footnote w:id="4">
    <w:p w:rsidR="007D64A1" w:rsidRPr="007D64A1" w:rsidRDefault="007D64A1" w:rsidP="007D64A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64A1">
        <w:rPr>
          <w:lang w:val="en-US"/>
        </w:rPr>
        <w:t xml:space="preserve"> </w:t>
      </w:r>
      <w:proofErr w:type="gramStart"/>
      <w:r w:rsidRPr="007D64A1">
        <w:rPr>
          <w:i/>
          <w:sz w:val="16"/>
          <w:szCs w:val="16"/>
          <w:lang w:val="en-US"/>
        </w:rPr>
        <w:t>In</w:t>
      </w:r>
      <w:r w:rsidRPr="007D64A1">
        <w:rPr>
          <w:sz w:val="16"/>
          <w:szCs w:val="16"/>
          <w:lang w:val="en-US"/>
        </w:rPr>
        <w:t xml:space="preserve"> CUNHA JÚNIOR, op. cit., p. 522.</w:t>
      </w:r>
      <w:proofErr w:type="gramEnd"/>
    </w:p>
  </w:footnote>
  <w:footnote w:id="5">
    <w:p w:rsidR="007D64A1" w:rsidRPr="007D64A1" w:rsidRDefault="007D64A1" w:rsidP="007D64A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7D64A1">
        <w:rPr>
          <w:lang w:val="en-US"/>
        </w:rPr>
        <w:t xml:space="preserve"> </w:t>
      </w:r>
      <w:proofErr w:type="gramStart"/>
      <w:r w:rsidRPr="007D64A1">
        <w:rPr>
          <w:i/>
          <w:sz w:val="16"/>
          <w:szCs w:val="16"/>
          <w:lang w:val="en-US"/>
        </w:rPr>
        <w:t>In</w:t>
      </w:r>
      <w:r w:rsidRPr="007D64A1">
        <w:rPr>
          <w:sz w:val="16"/>
          <w:szCs w:val="16"/>
          <w:lang w:val="en-US"/>
        </w:rPr>
        <w:t xml:space="preserve"> CUNHA JÚNIOR, op. cit., p. 522.</w:t>
      </w:r>
      <w:proofErr w:type="gramEnd"/>
    </w:p>
    <w:p w:rsidR="007D64A1" w:rsidRPr="007D64A1" w:rsidRDefault="007D64A1" w:rsidP="007D64A1">
      <w:pPr>
        <w:pStyle w:val="Textodenotaderodap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65" w:rsidRPr="002C6F1F" w:rsidRDefault="000D3CC0" w:rsidP="00D3446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-19pt;margin-top:-.55pt;width:82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D34465" w:rsidRDefault="00D34465" w:rsidP="00D34465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D64A1">
      <w:rPr>
        <w:rFonts w:ascii="Monotype Corsiva" w:hAnsi="Monotype Corsiva"/>
        <w:b/>
        <w:spacing w:val="20"/>
        <w:sz w:val="50"/>
        <w:szCs w:val="50"/>
      </w:rPr>
      <w:t xml:space="preserve"> </w:t>
    </w:r>
    <w:r w:rsidR="00D34465">
      <w:rPr>
        <w:rFonts w:ascii="Monotype Corsiva" w:hAnsi="Monotype Corsiva"/>
        <w:b/>
        <w:spacing w:val="20"/>
        <w:sz w:val="50"/>
        <w:szCs w:val="50"/>
      </w:rPr>
      <w:t xml:space="preserve">  </w:t>
    </w:r>
    <w:r w:rsidR="00D34465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34465" w:rsidRDefault="00D34465" w:rsidP="00D3446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D34465" w:rsidRPr="002C6F1F" w:rsidRDefault="00D34465" w:rsidP="00D3446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D34465" w:rsidRPr="002C6F1F" w:rsidRDefault="00D34465" w:rsidP="00D3446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34465" w:rsidRPr="002C6F1F" w:rsidRDefault="00D34465" w:rsidP="00D3446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34465" w:rsidRDefault="00D34465" w:rsidP="00D34465">
    <w:pPr>
      <w:pStyle w:val="Cabealho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>Site:</w:t>
    </w:r>
    <w:r>
      <w:rPr>
        <w:rFonts w:ascii="Monotype Corsiva" w:hAnsi="Monotype Corsiva"/>
      </w:rPr>
      <w:t xml:space="preserve">        </w:t>
    </w:r>
    <w:r w:rsidRPr="002C6F1F">
      <w:rPr>
        <w:rFonts w:ascii="Monotype Corsiva" w:hAnsi="Monotype Corsiva"/>
      </w:rPr>
      <w:t xml:space="preserve">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34465" w:rsidRDefault="00D3446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429829440645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4465"/>
    <w:rsid w:val="000D3CC0"/>
    <w:rsid w:val="00741769"/>
    <w:rsid w:val="007D64A1"/>
    <w:rsid w:val="009C0A01"/>
    <w:rsid w:val="00C962DC"/>
    <w:rsid w:val="00CE6875"/>
    <w:rsid w:val="00D34465"/>
    <w:rsid w:val="00F0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44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44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44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446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D344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65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7D64A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D64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7D64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1c8a221-3c4f-4fbe-a2e5-ccb2bb7f9310.png" Id="R4a301a482409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c8a221-3c4f-4fbe-a2e5-ccb2bb7f9310.png" Id="Rba429829440645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3</cp:revision>
  <cp:lastPrinted>2019-06-12T17:47:00Z</cp:lastPrinted>
  <dcterms:created xsi:type="dcterms:W3CDTF">2019-06-12T17:23:00Z</dcterms:created>
  <dcterms:modified xsi:type="dcterms:W3CDTF">2019-06-12T17:57:00Z</dcterms:modified>
</cp:coreProperties>
</file>