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E6F88">
      <w:pPr>
        <w:pBdr>
          <w:top w:val="nil"/>
          <w:left w:val="nil"/>
          <w:bottom w:val="nil"/>
          <w:right w:val="nil"/>
          <w:between w:val="nil"/>
        </w:pBdr>
        <w:spacing w:before="240" w:line="360" w:lineRule="auto"/>
        <w:jc w:val="both"/>
        <w:rPr>
          <w:color w:val="000000"/>
        </w:rPr>
      </w:pPr>
      <w:r>
        <w:rPr>
          <w:b/>
          <w:color w:val="000000"/>
        </w:rPr>
        <w:t>MOÇÃO Nº</w:t>
      </w:r>
    </w:p>
    <w:p w:rsidR="008E6F88">
      <w:pPr>
        <w:pBdr>
          <w:top w:val="nil"/>
          <w:left w:val="nil"/>
          <w:bottom w:val="nil"/>
          <w:right w:val="nil"/>
          <w:between w:val="nil"/>
        </w:pBdr>
        <w:spacing w:before="240" w:line="360" w:lineRule="auto"/>
        <w:jc w:val="both"/>
        <w:rPr>
          <w:color w:val="000000"/>
        </w:rPr>
      </w:pPr>
      <w:r>
        <w:rPr>
          <w:color w:val="000000"/>
        </w:rPr>
        <w:t>Senhor Presidente,</w:t>
      </w:r>
    </w:p>
    <w:p w:rsidR="008E6F88">
      <w:pPr>
        <w:spacing w:line="360" w:lineRule="auto"/>
        <w:jc w:val="both"/>
      </w:pPr>
    </w:p>
    <w:p w:rsidR="008E6F88">
      <w:pPr>
        <w:pBdr>
          <w:top w:val="nil"/>
          <w:left w:val="nil"/>
          <w:bottom w:val="nil"/>
          <w:right w:val="nil"/>
          <w:between w:val="nil"/>
        </w:pBdr>
        <w:spacing w:before="240" w:line="360" w:lineRule="auto"/>
        <w:ind w:firstLine="709"/>
        <w:jc w:val="both"/>
        <w:rPr>
          <w:color w:val="000000"/>
        </w:rPr>
      </w:pPr>
      <w:r>
        <w:rPr>
          <w:b/>
          <w:color w:val="000000"/>
        </w:rPr>
        <w:t>REQUEIRO À MESA</w:t>
      </w:r>
      <w:r>
        <w:rPr>
          <w:color w:val="000000"/>
        </w:rPr>
        <w:t xml:space="preserve"> desta Augusta </w:t>
      </w:r>
      <w:r>
        <w:rPr>
          <w:b/>
          <w:color w:val="000000"/>
        </w:rPr>
        <w:t>Casa Legislativa</w:t>
      </w:r>
      <w:r>
        <w:rPr>
          <w:color w:val="000000"/>
        </w:rPr>
        <w:t xml:space="preserve">, </w:t>
      </w:r>
      <w:r>
        <w:rPr>
          <w:color w:val="000000"/>
        </w:rPr>
        <w:t>após</w:t>
      </w:r>
      <w:r>
        <w:rPr>
          <w:color w:val="000000"/>
        </w:rPr>
        <w:t xml:space="preserve"> ouvido o </w:t>
      </w:r>
      <w:r>
        <w:rPr>
          <w:b/>
          <w:color w:val="000000"/>
        </w:rPr>
        <w:t>Egrégio Plenário</w:t>
      </w:r>
      <w:r>
        <w:rPr>
          <w:color w:val="000000"/>
        </w:rPr>
        <w:t xml:space="preserve">, na forma regimental, que digne-se de aprovar e encaminhar a presente </w:t>
      </w:r>
      <w:r>
        <w:rPr>
          <w:b/>
          <w:color w:val="000000"/>
        </w:rPr>
        <w:t>MOÇÃO DE AP</w:t>
      </w:r>
      <w:r w:rsidR="0076615F">
        <w:rPr>
          <w:b/>
          <w:color w:val="000000"/>
        </w:rPr>
        <w:t>ELO</w:t>
      </w:r>
      <w:r>
        <w:rPr>
          <w:i/>
          <w:color w:val="000000"/>
        </w:rPr>
        <w:t xml:space="preserve"> </w:t>
      </w:r>
      <w:r w:rsidR="0025698B">
        <w:rPr>
          <w:color w:val="000000"/>
        </w:rPr>
        <w:t xml:space="preserve">à </w:t>
      </w:r>
      <w:r w:rsidR="00651E78">
        <w:rPr>
          <w:color w:val="000000"/>
        </w:rPr>
        <w:t xml:space="preserve">Presidência da República </w:t>
      </w:r>
      <w:r w:rsidR="0076615F">
        <w:rPr>
          <w:color w:val="000000"/>
        </w:rPr>
        <w:t xml:space="preserve">para </w:t>
      </w:r>
      <w:r w:rsidR="00651E78">
        <w:rPr>
          <w:color w:val="000000"/>
        </w:rPr>
        <w:t xml:space="preserve">que sancione o Projeto de Lei 795/21, para prorrogar os prazos de utilização dos recursos da Lei Aldir Blanc. </w:t>
      </w:r>
    </w:p>
    <w:p w:rsidR="008E6F88">
      <w:pPr>
        <w:spacing w:before="240" w:line="360" w:lineRule="auto"/>
        <w:jc w:val="center"/>
        <w:rPr>
          <w:b/>
        </w:rPr>
      </w:pPr>
    </w:p>
    <w:p w:rsidR="008E6F88" w:rsidP="00134880">
      <w:pPr>
        <w:spacing w:before="240" w:line="360" w:lineRule="auto"/>
        <w:jc w:val="center"/>
      </w:pPr>
      <w:r>
        <w:rPr>
          <w:b/>
        </w:rPr>
        <w:t>JUSTIFICATIVA</w:t>
      </w:r>
    </w:p>
    <w:p w:rsidR="00C76730" w:rsidP="00D73FAA">
      <w:pPr>
        <w:spacing w:before="240" w:line="360" w:lineRule="auto"/>
        <w:ind w:firstLine="720"/>
        <w:jc w:val="both"/>
        <w:rPr>
          <w:color w:val="000000" w:themeColor="text1"/>
          <w:shd w:val="clear" w:color="auto" w:fill="FFFFFF"/>
        </w:rPr>
      </w:pPr>
      <w:bookmarkStart w:id="0" w:name="_heading=h.1fob9te" w:colFirst="0" w:colLast="0"/>
      <w:bookmarkEnd w:id="0"/>
      <w:r>
        <w:t xml:space="preserve">No dia 21 de abril deste ano, a Câmara dos Deputados aprovou o Projeto de Lei 795/21, originado no Senado Federal, que </w:t>
      </w:r>
      <w:r w:rsidRPr="00C76730">
        <w:rPr>
          <w:color w:val="000000" w:themeColor="text1"/>
        </w:rPr>
        <w:t xml:space="preserve">altera a </w:t>
      </w:r>
      <w:r w:rsidRPr="00C76730">
        <w:rPr>
          <w:color w:val="000000" w:themeColor="text1"/>
          <w:shd w:val="clear" w:color="auto" w:fill="FFFFFF"/>
        </w:rPr>
        <w:t>Lei Aldir Blanc</w:t>
      </w:r>
      <w:r>
        <w:rPr>
          <w:rFonts w:ascii="Segoe UI" w:hAnsi="Segoe UI" w:cs="Segoe UI"/>
          <w:color w:val="212529"/>
          <w:shd w:val="clear" w:color="auto" w:fill="FFFFFF"/>
        </w:rPr>
        <w:t xml:space="preserve"> </w:t>
      </w:r>
      <w:r w:rsidRPr="00C76730">
        <w:rPr>
          <w:color w:val="000000" w:themeColor="text1"/>
        </w:rPr>
        <w:t xml:space="preserve">com o objetivo </w:t>
      </w:r>
      <w:r w:rsidRPr="00C76730">
        <w:rPr>
          <w:color w:val="000000" w:themeColor="text1"/>
          <w:shd w:val="clear" w:color="auto" w:fill="FFFFFF"/>
        </w:rPr>
        <w:t>estender a prorrogação do auxílio emergencial a trabalhadores e trabalhadoras da cultura e para prorrogar o prazo de utilização de recursos pelos Estados, Distrito Federal e Municípios.</w:t>
      </w:r>
    </w:p>
    <w:p w:rsidR="00651E78" w:rsidP="00D73FAA">
      <w:pPr>
        <w:spacing w:before="240" w:line="360" w:lineRule="auto"/>
        <w:ind w:firstLine="720"/>
        <w:jc w:val="both"/>
      </w:pPr>
      <w:r>
        <w:rPr>
          <w:color w:val="000000" w:themeColor="text1"/>
          <w:shd w:val="clear" w:color="auto" w:fill="FFFFFF"/>
        </w:rPr>
        <w:t>De acordo com informações oficiais, “O t</w:t>
      </w:r>
      <w:r>
        <w:t>exto permite que estados, Distrito Federal e municípios utilizem, até 31 de dezembro de 2021, o saldo remanescente do dinheiro transferido para ações emergenciai</w:t>
      </w:r>
      <w:r w:rsidR="00D73FAA">
        <w:t>s de renda e projetos culturais”.</w:t>
      </w:r>
    </w:p>
    <w:p w:rsidR="00651E78" w:rsidP="00D73FAA">
      <w:pPr>
        <w:spacing w:before="240" w:line="360" w:lineRule="auto"/>
        <w:ind w:firstLine="720"/>
        <w:jc w:val="both"/>
      </w:pPr>
      <w:r>
        <w:t>As alterações à Lei 14.017/2020 também permite</w:t>
      </w:r>
      <w:r w:rsidR="00343BD6">
        <w:t>m</w:t>
      </w:r>
      <w:r>
        <w:t xml:space="preserve"> que haja repasse aos municípios dos recursos que foram </w:t>
      </w:r>
      <w:r>
        <w:t>devolvidos ao Fundo Estadual de Cultura em razão</w:t>
      </w:r>
      <w:r>
        <w:t xml:space="preserve"> de não terem sido utilizados na totalidade. A Agência Câmara de Notícias informa que “o</w:t>
      </w:r>
      <w:r>
        <w:t xml:space="preserve"> que não for usado em 2021 deverá ser devolvido pelos entes federativos à União até 10 de janeiro de 2022. Já a prestação de contas deverá ocorrer até 30 de junho de 2022 ou 31 de dezembro de 2022, conforme as despesas realizadas sejam com recursos de responsabilidade exclusiva de cada estado ou mun</w:t>
      </w:r>
      <w:r w:rsidR="007D7345">
        <w:t>icípio ou com recursos da União”.</w:t>
      </w:r>
    </w:p>
    <w:p w:rsidR="00651E78" w:rsidRPr="00C46BBB" w:rsidP="002D34BA">
      <w:pPr>
        <w:spacing w:before="240" w:line="360" w:lineRule="auto"/>
        <w:ind w:firstLine="720"/>
        <w:jc w:val="both"/>
        <w:rPr>
          <w:color w:val="000000" w:themeColor="text1"/>
        </w:rPr>
      </w:pPr>
      <w:r>
        <w:rPr>
          <w:color w:val="000000" w:themeColor="text1"/>
        </w:rPr>
        <w:t xml:space="preserve">Neste sentido, é fato notório que existência do Conservatório Dramático e Musical Dr. Carlos de Campos promove uma alta concentração de artistas em Tatuí. O impacto da imposição do isolamento social foi especialmente nefasto para estes cidadãos e cidadãs, pois </w:t>
      </w:r>
      <w:r w:rsidR="00343BD6">
        <w:rPr>
          <w:color w:val="000000" w:themeColor="text1"/>
        </w:rPr>
        <w:t xml:space="preserve">estes </w:t>
      </w:r>
      <w:r>
        <w:rPr>
          <w:color w:val="000000" w:themeColor="text1"/>
        </w:rPr>
        <w:t>estão impedido</w:t>
      </w:r>
      <w:r w:rsidR="002D34BA">
        <w:rPr>
          <w:color w:val="000000" w:themeColor="text1"/>
        </w:rPr>
        <w:t>s de realizarem suas atividades; eventos</w:t>
      </w:r>
      <w:r w:rsidRPr="00013C49">
        <w:rPr>
          <w:color w:val="000000" w:themeColor="text1"/>
        </w:rPr>
        <w:t xml:space="preserve"> em museus, casas de espetáculos, teatros, cinemas, startups e </w:t>
      </w:r>
      <w:r w:rsidR="002D34BA">
        <w:rPr>
          <w:color w:val="000000" w:themeColor="text1"/>
        </w:rPr>
        <w:t>muitos outros foram suspenso</w:t>
      </w:r>
      <w:r w:rsidRPr="00013C49">
        <w:rPr>
          <w:color w:val="000000" w:themeColor="text1"/>
        </w:rPr>
        <w:t xml:space="preserve">s, o que impactou diretamente </w:t>
      </w:r>
      <w:r w:rsidR="002D34BA">
        <w:rPr>
          <w:color w:val="000000" w:themeColor="text1"/>
        </w:rPr>
        <w:t>em projetos em andamento.</w:t>
      </w:r>
    </w:p>
    <w:p w:rsidR="008E6F88">
      <w:pPr>
        <w:spacing w:before="240" w:line="360" w:lineRule="auto"/>
        <w:jc w:val="both"/>
      </w:pPr>
      <w:r>
        <w:t xml:space="preserve">            </w:t>
      </w:r>
      <w:r w:rsidR="00343BD6">
        <w:t>P</w:t>
      </w:r>
      <w:r w:rsidR="003F4132">
        <w:t>elas</w:t>
      </w:r>
      <w:r w:rsidR="000D1462">
        <w:t xml:space="preserve"> razões acima expostas, </w:t>
      </w:r>
      <w:r w:rsidR="00343BD6">
        <w:t xml:space="preserve">urge aos nobres </w:t>
      </w:r>
      <w:r w:rsidR="00343BD6">
        <w:t>edis</w:t>
      </w:r>
      <w:r w:rsidR="00343BD6">
        <w:t xml:space="preserve"> a obrigatoriedade de defender o direito ao trabalho e ao bem estar dos artistas do nosso município, que por muitas vezes nos proporcionaram momentos de emoção e alegria. Assim, </w:t>
      </w:r>
      <w:r w:rsidR="003F4132">
        <w:t>resta plenamente justificado</w:t>
      </w:r>
      <w:r w:rsidR="000D1462">
        <w:t xml:space="preserve"> </w:t>
      </w:r>
      <w:r w:rsidR="00343BD6">
        <w:t xml:space="preserve">o apelo desta Casa de Leis para que seja sancionado o </w:t>
      </w:r>
      <w:r w:rsidR="00343BD6">
        <w:rPr>
          <w:color w:val="000000"/>
        </w:rPr>
        <w:t>Projeto de Lei 795/21.</w:t>
      </w:r>
    </w:p>
    <w:p w:rsidR="00134880" w:rsidP="00343BD6">
      <w:pPr>
        <w:spacing w:before="240" w:line="360" w:lineRule="auto"/>
        <w:rPr>
          <w:rFonts w:ascii="Arial" w:hAnsi="Arial" w:cs="Arial"/>
          <w:color w:val="494949"/>
          <w:shd w:val="clear" w:color="auto" w:fill="FFFFFF"/>
        </w:rPr>
      </w:pPr>
    </w:p>
    <w:p w:rsidR="008E6F88">
      <w:pPr>
        <w:spacing w:before="240" w:line="360" w:lineRule="auto"/>
        <w:jc w:val="center"/>
        <w:rPr>
          <w:b/>
        </w:rPr>
      </w:pPr>
      <w:r>
        <w:rPr>
          <w:b/>
        </w:rPr>
        <w:t>Sala das Sessões “V</w:t>
      </w:r>
      <w:r w:rsidR="00441B49">
        <w:rPr>
          <w:b/>
        </w:rPr>
        <w:t xml:space="preserve">ereador Rafael </w:t>
      </w:r>
      <w:r w:rsidR="00441B49">
        <w:rPr>
          <w:b/>
        </w:rPr>
        <w:t>Orsi</w:t>
      </w:r>
      <w:r w:rsidR="00441B49">
        <w:rPr>
          <w:b/>
        </w:rPr>
        <w:t xml:space="preserve"> Filho”, 10 d</w:t>
      </w:r>
      <w:r>
        <w:rPr>
          <w:b/>
        </w:rPr>
        <w:t>e maio de 2021.</w:t>
      </w:r>
    </w:p>
    <w:p w:rsidR="00134880">
      <w:pPr>
        <w:spacing w:before="240" w:line="360" w:lineRule="auto"/>
        <w:jc w:val="center"/>
        <w:rPr>
          <w:b/>
        </w:rPr>
      </w:pPr>
      <w:bookmarkStart w:id="1" w:name="_GoBack"/>
      <w:bookmarkEnd w:id="1"/>
    </w:p>
    <w:p w:rsidR="00C61F8C" w:rsidP="00C61F8C">
      <w:pPr>
        <w:tabs>
          <w:tab w:val="left" w:pos="4650"/>
        </w:tabs>
        <w:spacing w:line="360" w:lineRule="auto"/>
        <w:rPr>
          <w:b/>
          <w:i/>
        </w:rPr>
      </w:pPr>
    </w:p>
    <w:p w:rsidR="00C61F8C" w:rsidP="00C61F8C">
      <w:pPr>
        <w:tabs>
          <w:tab w:val="left" w:pos="4650"/>
        </w:tabs>
        <w:spacing w:line="360" w:lineRule="auto"/>
        <w:jc w:val="center"/>
        <w:rPr>
          <w:b/>
        </w:rPr>
      </w:pPr>
      <w:r>
        <w:rPr>
          <w:b/>
        </w:rPr>
        <w:t>EDUARDO DADE SALLUM</w:t>
      </w:r>
    </w:p>
    <w:p w:rsidR="00C61F8C" w:rsidP="00C61F8C">
      <w:pPr>
        <w:spacing w:line="360" w:lineRule="auto"/>
        <w:jc w:val="center"/>
        <w:rPr>
          <w:b/>
        </w:rPr>
      </w:pPr>
      <w:r>
        <w:rPr>
          <w:b/>
        </w:rPr>
        <w:t>Vereador</w:t>
      </w:r>
    </w:p>
    <w:p w:rsidR="008E6F88">
      <w:pPr>
        <w:spacing w:before="240" w:line="360" w:lineRule="auto"/>
        <w:jc w:val="center"/>
        <w:rPr>
          <w:b/>
        </w:rPr>
      </w:pPr>
      <w: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5" name="Retângulo 25"/>
                <wp:cNvGraphicFramePr/>
                <a:graphic xmlns:a="http://schemas.openxmlformats.org/drawingml/2006/main">
                  <a:graphicData uri="http://schemas.microsoft.com/office/word/2010/wordprocessingShape">
                    <wps:wsp xmlns:wps="http://schemas.microsoft.com/office/word/2010/wordprocessingShape">
                      <wps:cNvSpPr/>
                      <wps:spPr>
                        <a:xfrm>
                          <a:off x="4189348" y="3388523"/>
                          <a:ext cx="2270806" cy="826452"/>
                        </a:xfrm>
                        <a:prstGeom prst="rect">
                          <a:avLst/>
                        </a:prstGeom>
                        <a:solidFill>
                          <a:srgbClr val="FFFFFF"/>
                        </a:solidFill>
                        <a:ln>
                          <a:noFill/>
                        </a:ln>
                      </wps:spPr>
                      <wps:txbx>
                        <w:txbxContent>
                          <w:p w:rsidR="008E6F88">
                            <w:pPr>
                              <w:spacing w:line="360" w:lineRule="auto"/>
                              <w:jc w:val="center"/>
                            </w:pPr>
                          </w:p>
                          <w:p w:rsidR="008E6F88">
                            <w:pPr>
                              <w:spacing w:line="360" w:lineRule="auto"/>
                              <w:jc w:val="center"/>
                            </w:pPr>
                            <w:r>
                              <w:rPr>
                                <w:b/>
                                <w:color w:val="000000"/>
                              </w:rPr>
                              <w:t>EDUARDO DADE SALLUM</w:t>
                            </w:r>
                          </w:p>
                          <w:p w:rsidR="008E6F88">
                            <w:pPr>
                              <w:spacing w:line="360" w:lineRule="auto"/>
                              <w:jc w:val="center"/>
                            </w:pPr>
                            <w:r>
                              <w:rPr>
                                <w:b/>
                                <w:color w:val="000000"/>
                              </w:rPr>
                              <w:t>Vereador</w:t>
                            </w: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Retângulo 25" o:spid="_x0000_s1025" type="#_x0000_t202" style="width:178.8pt;height:65.07pt;margin-top:26pt;margin-left:137pt;mso-wrap-distance-bottom:0;mso-wrap-distance-left:9pt;mso-wrap-distance-right:9pt;mso-wrap-distance-top:0;position:absolute;visibility:visible;v-text-anchor:top;z-index:251658240" fillcolor="white" stroked="f">
                <v:textbox inset="7.2pt,3.6pt,7.2pt,3.6pt">
                  <w:txbxContent>
                    <w:p w:rsidR="008E6F88">
                      <w:pPr>
                        <w:spacing w:line="360" w:lineRule="auto"/>
                        <w:jc w:val="center"/>
                      </w:pPr>
                    </w:p>
                    <w:p w:rsidR="008E6F88">
                      <w:pPr>
                        <w:spacing w:line="360" w:lineRule="auto"/>
                        <w:jc w:val="center"/>
                      </w:pPr>
                      <w:r>
                        <w:rPr>
                          <w:b/>
                          <w:color w:val="000000"/>
                        </w:rPr>
                        <w:t>EDUARDO DADE SALLUM</w:t>
                      </w:r>
                    </w:p>
                    <w:p w:rsidR="008E6F88">
                      <w:pPr>
                        <w:spacing w:line="360" w:lineRule="auto"/>
                        <w:jc w:val="center"/>
                      </w:pPr>
                      <w:r>
                        <w:rPr>
                          <w:b/>
                          <w:color w:val="000000"/>
                        </w:rPr>
                        <w:t>Vereador</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62228984" name="image2.png"/>
            <wp:cNvGraphicFramePr/>
            <a:graphic xmlns:a="http://schemas.openxmlformats.org/drawingml/2006/main">
              <a:graphicData uri="http://schemas.openxmlformats.org/drawingml/2006/picture">
                <pic:pic xmlns:pic="http://schemas.openxmlformats.org/drawingml/2006/picture">
                  <pic:nvPicPr>
                    <pic:cNvPr id="1796532289" name="image2.png"/>
                    <pic:cNvPicPr/>
                  </pic:nvPicPr>
                  <pic:blipFill>
                    <a:blip xmlns:r="http://schemas.openxmlformats.org/officeDocument/2006/relationships" r:embed="rId5"/>
                    <a:stretch>
                      <a:fillRect/>
                    </a:stretch>
                  </pic:blipFill>
                  <pic:spPr>
                    <a:xfrm>
                      <a:off x="0" y="0"/>
                      <a:ext cx="2270806" cy="826452"/>
                    </a:xfrm>
                    <a:prstGeom prst="rect">
                      <a:avLst/>
                    </a:prstGeom>
                  </pic:spPr>
                </pic:pic>
              </a:graphicData>
            </a:graphic>
          </wp:anchor>
        </w:drawing>
      </w:r>
    </w:p>
    <w:p w:rsidR="008E6F88">
      <w:pPr>
        <w:spacing w:before="240" w:line="360" w:lineRule="auto"/>
        <w:jc w:val="center"/>
        <w:rPr>
          <w:b/>
        </w:rPr>
      </w:pPr>
      <w:bookmarkStart w:id="2" w:name="_heading=h.30j0zll" w:colFirst="0" w:colLast="0"/>
      <w:bookmarkEnd w:id="2"/>
    </w:p>
    <w:sectPr w:rsidSect="00E52F5A">
      <w:headerReference w:type="default" r:id="rId6"/>
      <w:footerReference w:type="default" r:id="rId7"/>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6F88">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mc:AlternateContent>
        <mc:Choice Requires="wps">
          <w:drawing>
            <wp:anchor distT="0" distB="0" distL="114300" distR="114300" simplePos="0" relativeHeight="251659264"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24" name="Caixa de texto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2C6F1F">
                          <w:r>
                            <w:rPr>
                              <w:noProof/>
                            </w:rPr>
                            <w:drawing>
                              <wp:inline distT="0" distB="0" distL="0" distR="0">
                                <wp:extent cx="686159" cy="876300"/>
                                <wp:effectExtent l="0" t="0" r="0" b="0"/>
                                <wp:docPr id="400195482"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890"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Caixa de texto 24" o:spid="_x0000_s2049" type="#_x0000_t202" style="width:75.2pt;height:82.65pt;margin-top:-0.55pt;margin-left:-9pt;mso-wrap-distance-bottom:0;mso-wrap-distance-left:9pt;mso-wrap-distance-right:9pt;mso-wrap-distance-top:0;mso-wrap-style:none;position:absolute;visibility:visible;v-text-anchor:top;z-index:251658240" fillcolor="white" stroked="t" strokecolor="white" strokeweight="0.75pt">
              <v:textbox style="mso-fit-shape-to-text:t">
                <w:txbxContent>
                  <w:p w:rsidR="002C6F1F">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33677"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1069025869" name="image3.jpg"/>
          <wp:cNvGraphicFramePr/>
          <a:graphic xmlns:a="http://schemas.openxmlformats.org/drawingml/2006/main">
            <a:graphicData uri="http://schemas.openxmlformats.org/drawingml/2006/picture">
              <pic:pic xmlns:pic="http://schemas.openxmlformats.org/drawingml/2006/picture">
                <pic:nvPicPr>
                  <pic:cNvPr id="588582400" name="image3.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Telefax: 0 xx 15 3259 8300</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Endereço: Avenida Cônego João Clímaco, 226 – Tatuí / SP</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3"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4" w:history="1">
      <w:r>
        <w:rPr>
          <w:rFonts w:ascii="Corsiva" w:eastAsia="Corsiva" w:hAnsi="Corsiva" w:cs="Corsiva"/>
          <w:color w:val="000000"/>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60288" behindDoc="0" locked="0" layoutInCell="1" allowOverlap="1">
          <wp:simplePos x="0" y="0"/>
          <wp:positionH relativeFrom="rightMargin">
            <wp:align>center</wp:align>
          </wp:positionH>
          <wp:positionV relativeFrom="page">
            <wp:align>center</wp:align>
          </wp:positionV>
          <wp:extent cx="381000" cy="459105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381000" cy="4591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8"/>
    <w:rsid w:val="00013C49"/>
    <w:rsid w:val="000C54E4"/>
    <w:rsid w:val="000D1462"/>
    <w:rsid w:val="00134880"/>
    <w:rsid w:val="00161422"/>
    <w:rsid w:val="00165BF5"/>
    <w:rsid w:val="0025698B"/>
    <w:rsid w:val="002C6F1F"/>
    <w:rsid w:val="002D34BA"/>
    <w:rsid w:val="00343BD6"/>
    <w:rsid w:val="003F4132"/>
    <w:rsid w:val="00413E21"/>
    <w:rsid w:val="00441B49"/>
    <w:rsid w:val="00651E78"/>
    <w:rsid w:val="006D093F"/>
    <w:rsid w:val="006D771E"/>
    <w:rsid w:val="006F1424"/>
    <w:rsid w:val="0076615F"/>
    <w:rsid w:val="007D7345"/>
    <w:rsid w:val="008E6F88"/>
    <w:rsid w:val="00A73547"/>
    <w:rsid w:val="00A809C6"/>
    <w:rsid w:val="00C46BBB"/>
    <w:rsid w:val="00C61F8C"/>
    <w:rsid w:val="00C76730"/>
    <w:rsid w:val="00D73FAA"/>
    <w:rsid w:val="00DF73D8"/>
    <w:rsid w:val="00E52F5A"/>
    <w:rsid w:val="00EC37E0"/>
    <w:rsid w:val="00ED1D86"/>
    <w:rsid w:val="00F20190"/>
    <w:rsid w:val="00F333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E52F5A"/>
    <w:pPr>
      <w:keepNext/>
      <w:keepLines/>
      <w:spacing w:before="240" w:after="40"/>
      <w:outlineLvl w:val="3"/>
    </w:pPr>
    <w:rPr>
      <w:b/>
    </w:rPr>
  </w:style>
  <w:style w:type="paragraph" w:styleId="Heading5">
    <w:name w:val="heading 5"/>
    <w:basedOn w:val="Normal"/>
    <w:next w:val="Normal"/>
    <w:uiPriority w:val="9"/>
    <w:semiHidden/>
    <w:unhideWhenUsed/>
    <w:qFormat/>
    <w:rsid w:val="00E52F5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52F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E52F5A"/>
    <w:tblPr>
      <w:tblCellMar>
        <w:top w:w="0" w:type="dxa"/>
        <w:left w:w="0" w:type="dxa"/>
        <w:bottom w:w="0" w:type="dxa"/>
        <w:right w:w="0" w:type="dxa"/>
      </w:tblCellMar>
    </w:tblPr>
  </w:style>
  <w:style w:type="paragraph" w:styleId="Title">
    <w:name w:val="Title"/>
    <w:basedOn w:val="Normal"/>
    <w:next w:val="Normal"/>
    <w:uiPriority w:val="10"/>
    <w:qFormat/>
    <w:rsid w:val="00E52F5A"/>
    <w:pPr>
      <w:keepNext/>
      <w:keepLines/>
      <w:spacing w:before="480" w:after="120"/>
    </w:pPr>
    <w:rPr>
      <w:b/>
      <w:sz w:val="72"/>
      <w:szCs w:val="72"/>
    </w:rPr>
  </w:style>
  <w:style w:type="table" w:customStyle="1" w:styleId="TableNormal1">
    <w:name w:val="Table Normal_1"/>
    <w:rsid w:val="00E52F5A"/>
    <w:tblPr>
      <w:tblCellMar>
        <w:top w:w="0" w:type="dxa"/>
        <w:left w:w="0" w:type="dxa"/>
        <w:bottom w:w="0" w:type="dxa"/>
        <w:right w:w="0" w:type="dxa"/>
      </w:tblCellMar>
    </w:tblPr>
  </w:style>
  <w:style w:type="table" w:customStyle="1" w:styleId="TableNormal2">
    <w:name w:val="Table Normal_2"/>
    <w:rsid w:val="00E52F5A"/>
    <w:tblPr>
      <w:tblCellMar>
        <w:top w:w="0" w:type="dxa"/>
        <w:left w:w="0" w:type="dxa"/>
        <w:bottom w:w="0" w:type="dxa"/>
        <w:right w:w="0" w:type="dxa"/>
      </w:tblCellMar>
    </w:tblPr>
  </w:style>
  <w:style w:type="table" w:customStyle="1" w:styleId="TableNormal3">
    <w:name w:val="Table Normal_3"/>
    <w:rsid w:val="00E52F5A"/>
    <w:tblPr>
      <w:tblCellMar>
        <w:top w:w="0" w:type="dxa"/>
        <w:left w:w="0" w:type="dxa"/>
        <w:bottom w:w="0" w:type="dxa"/>
        <w:right w:w="0" w:type="dxa"/>
      </w:tblCellMar>
    </w:tblPr>
  </w:style>
  <w:style w:type="table" w:customStyle="1" w:styleId="TableNormal4">
    <w:name w:val="Table Normal_4"/>
    <w:rsid w:val="00E52F5A"/>
    <w:tblPr>
      <w:tblCellMar>
        <w:top w:w="0" w:type="dxa"/>
        <w:left w:w="0" w:type="dxa"/>
        <w:bottom w:w="0" w:type="dxa"/>
        <w:right w:w="0" w:type="dxa"/>
      </w:tblCellMar>
    </w:tblPr>
  </w:style>
  <w:style w:type="table" w:customStyle="1" w:styleId="TableNormal5">
    <w:name w:val="Table Normal_5"/>
    <w:rsid w:val="00E52F5A"/>
    <w:tblPr>
      <w:tblCellMar>
        <w:top w:w="0" w:type="dxa"/>
        <w:left w:w="0" w:type="dxa"/>
        <w:bottom w:w="0" w:type="dxa"/>
        <w:right w:w="0" w:type="dxa"/>
      </w:tblCellMar>
    </w:tblPr>
  </w:style>
  <w:style w:type="table" w:customStyle="1" w:styleId="TableNormal6">
    <w:name w:val="Table Normal_6"/>
    <w:rsid w:val="00E52F5A"/>
    <w:tblPr>
      <w:tblCellMar>
        <w:top w:w="0" w:type="dxa"/>
        <w:left w:w="0" w:type="dxa"/>
        <w:bottom w:w="0" w:type="dxa"/>
        <w:right w:w="0" w:type="dxa"/>
      </w:tblCellMar>
    </w:tblPr>
  </w:style>
  <w:style w:type="table" w:customStyle="1" w:styleId="TableNormal7">
    <w:name w:val="Table Normal_7"/>
    <w:rsid w:val="00E52F5A"/>
    <w:tblPr>
      <w:tblCellMar>
        <w:top w:w="0" w:type="dxa"/>
        <w:left w:w="0" w:type="dxa"/>
        <w:bottom w:w="0" w:type="dxa"/>
        <w:right w:w="0" w:type="dxa"/>
      </w:tblCellMar>
    </w:tblPr>
  </w:style>
  <w:style w:type="table" w:customStyle="1" w:styleId="TableNormal8">
    <w:name w:val="Table Normal_8"/>
    <w:rsid w:val="00E52F5A"/>
    <w:tblPr>
      <w:tblCellMar>
        <w:top w:w="0" w:type="dxa"/>
        <w:left w:w="0" w:type="dxa"/>
        <w:bottom w:w="0" w:type="dxa"/>
        <w:right w:w="0" w:type="dxa"/>
      </w:tblCellMar>
    </w:tblPr>
  </w:style>
  <w:style w:type="table" w:customStyle="1" w:styleId="TableNormal9">
    <w:name w:val="Table Normal_9"/>
    <w:rsid w:val="00E52F5A"/>
    <w:tblPr>
      <w:tblCellMar>
        <w:top w:w="0" w:type="dxa"/>
        <w:left w:w="0" w:type="dxa"/>
        <w:bottom w:w="0" w:type="dxa"/>
        <w:right w:w="0" w:type="dxa"/>
      </w:tblCellMar>
    </w:tblPr>
  </w:style>
  <w:style w:type="table" w:customStyle="1" w:styleId="TableNormal10">
    <w:name w:val="Table Normal_10"/>
    <w:rsid w:val="00E52F5A"/>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E52F5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izP7p1ls0KxdQ+Sd7Xx8TGQsg==">AMUW2mXUr4XnbBDv4N888/hMxLZTLAKuEI4twSRJ+eLPSYkOEV3i/qJtyx0oOGknxBO2BZpjuMng4PDc6OkkywTsn0oFJHVFA/h2kCNtoYaBfLy0wAaqZuCT0RJbCifBrPxhAtRUuDVJ+urABUTGO5oGgnqYNUpZCQ==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377</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20</cp:revision>
  <dcterms:created xsi:type="dcterms:W3CDTF">2021-01-29T03:16:00Z</dcterms:created>
  <dcterms:modified xsi:type="dcterms:W3CDTF">2021-05-06T17:07:00Z</dcterms:modified>
</cp:coreProperties>
</file>